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2D" w:rsidRDefault="00926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8"/>
        <w:gridCol w:w="2507"/>
        <w:gridCol w:w="2508"/>
        <w:gridCol w:w="2509"/>
        <w:gridCol w:w="2509"/>
        <w:gridCol w:w="2509"/>
      </w:tblGrid>
      <w:tr w:rsidR="0092612D">
        <w:trPr>
          <w:trHeight w:val="160"/>
        </w:trPr>
        <w:tc>
          <w:tcPr>
            <w:tcW w:w="1505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C00000"/>
              <w:right w:val="single" w:sz="24" w:space="0" w:color="000000"/>
            </w:tcBorders>
          </w:tcPr>
          <w:p w:rsidR="0092612D" w:rsidRDefault="001A4C57">
            <w:pPr>
              <w:tabs>
                <w:tab w:val="left" w:pos="1373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Non-negotiables (Key Stage 2): Year 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2612D" w:rsidRDefault="001A4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Use capital letters for names of people, places, days of the week and the personal pronoun ‘I’;</w:t>
            </w: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hidden="0" allowOverlap="1">
                  <wp:simplePos x="0" y="0"/>
                  <wp:positionH relativeFrom="column">
                    <wp:posOffset>9138920</wp:posOffset>
                  </wp:positionH>
                  <wp:positionV relativeFrom="paragraph">
                    <wp:posOffset>-358774</wp:posOffset>
                  </wp:positionV>
                  <wp:extent cx="232410" cy="232410"/>
                  <wp:effectExtent l="0" t="0" r="0" b="0"/>
                  <wp:wrapSquare wrapText="bothSides" distT="0" distB="0" distL="114300" distR="114300"/>
                  <wp:docPr id="3" name="image1.jpg" descr="Image result for self assessment smiley fa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 result for self assessment smiley face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612D" w:rsidRDefault="001A4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Use question marks and exclamation marks;</w:t>
            </w:r>
          </w:p>
          <w:p w:rsidR="0092612D" w:rsidRDefault="001A4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Use commas to separate items in a list/ Use commas to mark plural possession; </w:t>
            </w:r>
          </w:p>
          <w:p w:rsidR="0092612D" w:rsidRDefault="001A4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Use apostrophes to show where letters are missing and mark singular possession in nouns/ use apostrophes to mark plural possession;</w:t>
            </w:r>
          </w:p>
          <w:p w:rsidR="0092612D" w:rsidRDefault="001A4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Use inverted commas and other punctuation 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indicate direct speech.</w:t>
            </w:r>
          </w:p>
        </w:tc>
      </w:tr>
      <w:tr w:rsidR="0092612D">
        <w:trPr>
          <w:trHeight w:val="560"/>
        </w:trPr>
        <w:tc>
          <w:tcPr>
            <w:tcW w:w="7523" w:type="dxa"/>
            <w:gridSpan w:val="3"/>
            <w:tcBorders>
              <w:top w:val="single" w:sz="24" w:space="0" w:color="C00000"/>
              <w:left w:val="single" w:sz="2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2612D" w:rsidRDefault="001A4C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Working towards the expected standard</w:t>
            </w:r>
          </w:p>
          <w:p w:rsidR="0092612D" w:rsidRDefault="0092612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2612D" w:rsidRDefault="001A4C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Working at the expected standard</w:t>
            </w:r>
          </w:p>
          <w:p w:rsidR="0092612D" w:rsidRDefault="0092612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000000"/>
            </w:tcBorders>
            <w:shd w:val="clear" w:color="auto" w:fill="auto"/>
          </w:tcPr>
          <w:p w:rsidR="0092612D" w:rsidRDefault="001A4C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Surpassing – Working at greater depth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24" w:space="0" w:color="C00000"/>
              <w:left w:val="single" w:sz="24" w:space="0" w:color="000000"/>
              <w:bottom w:val="single" w:sz="24" w:space="0" w:color="CC3300"/>
              <w:right w:val="single" w:sz="12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hd w:val="clear" w:color="auto" w:fill="FAC090"/>
              </w:rPr>
              <w:t>Bronze writer (b)</w:t>
            </w:r>
          </w:p>
        </w:tc>
        <w:tc>
          <w:tcPr>
            <w:tcW w:w="2507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12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hd w:val="clear" w:color="auto" w:fill="D9D9D9"/>
              </w:rPr>
              <w:t>Silver writer (b+)</w:t>
            </w:r>
          </w:p>
        </w:tc>
        <w:tc>
          <w:tcPr>
            <w:tcW w:w="2508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hd w:val="clear" w:color="auto" w:fill="FFC000"/>
              </w:rPr>
              <w:t>Gold writer (w)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4" w:space="0" w:color="CC3300"/>
              <w:right w:val="single" w:sz="12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highlight w:val="red"/>
              </w:rPr>
              <w:t>Ruby writer (w+)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92612D" w:rsidRDefault="001A4C57">
            <w:pPr>
              <w:jc w:val="center"/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hd w:val="clear" w:color="auto" w:fill="00B050"/>
              </w:rPr>
              <w:t>Emerald writer (s)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hd w:val="clear" w:color="auto" w:fill="F2F2F2"/>
              </w:rPr>
              <w:t>Diamond writer (s+)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24" w:space="0" w:color="CC33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Plan and draft writing. </w:t>
            </w:r>
          </w:p>
        </w:tc>
        <w:tc>
          <w:tcPr>
            <w:tcW w:w="2507" w:type="dxa"/>
            <w:tcBorders>
              <w:top w:val="single" w:sz="24" w:space="0" w:color="CC33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Use correct features and sentence structures to match text types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letter/report etc. </w:t>
            </w:r>
          </w:p>
        </w:tc>
        <w:tc>
          <w:tcPr>
            <w:tcW w:w="2508" w:type="dxa"/>
            <w:tcBorders>
              <w:top w:val="single" w:sz="24" w:space="0" w:color="CC33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Develop characters through action and dialogue. 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Establish a viewpoint by commenting on characters and events.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Summarise a paragraph.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Close the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text with reference to its opening.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Discuss the audience and purpose of the writing.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Add well-chosen detail to interest the reader.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Describe characters and settings.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Use grammar and vocabulary to create an impact on the reader.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Use literary techniques to create effects in writing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alliteration, similes, ellipsis etc.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Read work aloud with expression and understanding. </w:t>
            </w:r>
          </w:p>
        </w:tc>
      </w:tr>
      <w:tr w:rsidR="0092612D">
        <w:trPr>
          <w:trHeight w:val="5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Start sentences in different ways.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Vary the length of sentences.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Use speech/dialogue in writing,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adverbs or modal verbs to indicate a degree of possibility.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Re-order sentences to create an impact on the reader.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Perform ow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n compositions using correct intonation, volume and movement so the meaning is clear.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Use paragraphs to organise ideas and show different information or events.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Proofread work for spelling and punctuation errors.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Use redrafting to improve writing.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relative clauses beginning with a relative pronoun (who, which, where, when, whose, tha</w:t>
            </w: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t).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Use paragraphs to organise information logically and shape a non-fiction text effectively.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Use the subjunctive form.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commas to demarcate fronted adverbials and clauses.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adverbials to link paragraphs.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past and present tense correctly.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Use commas and hyphens to clarify meaning.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Structure non-fiction writing using headings, sub headings, bullet points etc.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Use brackets, dashes and commas to clarify meaning and ambiguity.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Form verbs with prefixes.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Spell most of the year 3/4 words correctly.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Understand the rules for adding prefixes and suffixes.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Build cohesion between paragraphs using time conjunctions.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Use paragraphs to structure the plot in narrative writing showing changes in time, place and eve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nts.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>Use the passive voice.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Convert nouns or adjectives into verbs by adding a suffix.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Use a thesaurus.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Spell words with silent letters.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Use expanded noun phrases to add detail to writing.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Choose an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appropriate opening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and closing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Spell most of the year 5/6 words correctly. 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Use the first 3/4 letters of a word to check spelling in a dictionary.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Join letters when needed.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Handwriting is legible and joined.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Spell the most commonly misspelt words from the year 5/6 list.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Use a range </w:t>
            </w: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of spelling strategies.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 more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detailed feedback for own work and peers. </w:t>
            </w:r>
          </w:p>
        </w:tc>
      </w:tr>
      <w:tr w:rsidR="0092612D">
        <w:trPr>
          <w:trHeight w:val="160"/>
        </w:trPr>
        <w:tc>
          <w:tcPr>
            <w:tcW w:w="2508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Choose the writing implement that is best suited for the task.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12D" w:rsidRDefault="0092612D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92612D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/>
              <w:left w:val="single" w:sz="24" w:space="0" w:color="CC3300"/>
              <w:bottom w:val="single" w:sz="12" w:space="0" w:color="000000"/>
              <w:right w:val="single" w:sz="12" w:space="0" w:color="000000"/>
            </w:tcBorders>
          </w:tcPr>
          <w:p w:rsidR="0092612D" w:rsidRDefault="001A4C57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Use prefixes and suffixes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CC3300"/>
            </w:tcBorders>
          </w:tcPr>
          <w:p w:rsidR="0092612D" w:rsidRDefault="0092612D">
            <w:pPr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09" w:type="dxa"/>
            <w:tcBorders>
              <w:top w:val="single" w:sz="4" w:space="0" w:color="000000"/>
              <w:left w:val="single" w:sz="24" w:space="0" w:color="CC3300"/>
              <w:bottom w:val="single" w:sz="4" w:space="0" w:color="000000"/>
              <w:right w:val="single" w:sz="24" w:space="0" w:color="000000"/>
            </w:tcBorders>
          </w:tcPr>
          <w:p w:rsidR="0092612D" w:rsidRDefault="009261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24BD8" w:rsidRDefault="00624BD8"/>
    <w:p w:rsidR="00624BD8" w:rsidRDefault="00624BD8">
      <w:r>
        <w:rPr>
          <w:noProof/>
        </w:rPr>
        <w:drawing>
          <wp:anchor distT="0" distB="0" distL="114300" distR="114300" simplePos="0" relativeHeight="251668992" behindDoc="0" locked="0" layoutInCell="1" hidden="0" allowOverlap="1">
            <wp:simplePos x="0" y="0"/>
            <wp:positionH relativeFrom="column">
              <wp:posOffset>8667750</wp:posOffset>
            </wp:positionH>
            <wp:positionV relativeFrom="paragraph">
              <wp:posOffset>39370</wp:posOffset>
            </wp:positionV>
            <wp:extent cx="641985" cy="600075"/>
            <wp:effectExtent l="0" t="0" r="5715" b="9525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19685</wp:posOffset>
                </wp:positionV>
                <wp:extent cx="8214995" cy="319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499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12D" w:rsidRDefault="001A4C5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>Composition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030A0"/>
                                <w:sz w:val="20"/>
                              </w:rPr>
                              <w:t>Grammar and Punctuation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20"/>
                              </w:rPr>
                              <w:t>Spelling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20"/>
                              </w:rPr>
                              <w:t>Handwriting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3.75pt;margin-top:1.55pt;width:646.85pt;height:25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92612D" w:rsidRDefault="001A4C5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</w:rPr>
                        <w:t>Composition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7030A0"/>
                          <w:sz w:val="20"/>
                        </w:rPr>
                        <w:t>Grammar and Punctuation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B050"/>
                          <w:sz w:val="20"/>
                        </w:rPr>
                        <w:t>Spelling</w:t>
                      </w:r>
                      <w:r>
                        <w:rPr>
                          <w:rFonts w:ascii="Arial" w:eastAsia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70C0"/>
                          <w:sz w:val="20"/>
                        </w:rPr>
                        <w:t>Handwriting</w:t>
                      </w:r>
                    </w:p>
                  </w:txbxContent>
                </v:textbox>
              </v:rect>
            </w:pict>
          </mc:Fallback>
        </mc:AlternateContent>
      </w:r>
    </w:p>
    <w:p w:rsidR="00624BD8" w:rsidRDefault="00624BD8"/>
    <w:p w:rsidR="00624BD8" w:rsidRDefault="00624BD8"/>
    <w:p w:rsidR="00624BD8" w:rsidRDefault="00624BD8"/>
    <w:p w:rsidR="0092612D" w:rsidRDefault="0092612D"/>
    <w:sectPr w:rsidR="0092612D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761A3"/>
    <w:multiLevelType w:val="multilevel"/>
    <w:tmpl w:val="D3F4C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612D"/>
    <w:rsid w:val="001A4C57"/>
    <w:rsid w:val="00624BD8"/>
    <w:rsid w:val="009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48A13-6DB7-4F59-AEF6-D224C90E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Djmal</cp:lastModifiedBy>
  <cp:revision>3</cp:revision>
  <dcterms:created xsi:type="dcterms:W3CDTF">2019-01-27T16:43:00Z</dcterms:created>
  <dcterms:modified xsi:type="dcterms:W3CDTF">2019-01-27T16:50:00Z</dcterms:modified>
</cp:coreProperties>
</file>